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MENTIONS LÉGALES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Conformément aux dispositions de la loi n° 2004-5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75 du 21 juin 2004 pour la confiance en l'économie numérique, il est précisé aux utilisateurs du site artiscoiff.fr l'identité des différents intervenants dans le cadre de sa réalisation et de son suivi.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Edition du site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présent site, accessible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l’URL https://artiscoiff.fr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(le « Site »), est édité par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MADAME NATHALIE DUPRE (ARTIS COIFF) 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société au capital de 1000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euros, inscrite au R.C.S. de MELUN sous le numéro Melun A 344 849 3282596, dont le siège social est situé au CENTRE COMMERCIAL 77130 SAINT-GERMAIN-LAVAL, représenté(e) par nathalie DUPRE dûment habilité(e)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numéro individuel TVA de l’éditeur est : FR25344849328.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Hébergement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Site est hébergé par la société webador, situé Eindhoven (Pays-Bas) à Torenallee 20, code postal 5617 BC,, (contact téléphonique ou email : +33100000110).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Directeur de publication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Directeur de la publication du Site est nathalie DUPRE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Nous contacter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 téléphone : +33774125262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 email : admin@artiscoiff.fr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 courrier : CENTRE COMMERCIAL 77130 SAINT-GERMAIN-LAVAL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Données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traitement de vos données à cara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ctère personnel est régi par notre Charte du respect de la vie privée, disponible depuis la section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"Charte de Protection des Données Personnelles"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conformément au Règlement Général sur la Protection des Données 2016/679 du 27 avril 2016 («RGPD»).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Génération des mentions légales par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Legalstart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galstar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